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7ADA99">
      <w:pPr>
        <w:keepNext w:val="0"/>
        <w:keepLines w:val="0"/>
        <w:pageBreakBefore w:val="0"/>
        <w:widowControl w:val="0"/>
        <w:kinsoku/>
        <w:wordWrap/>
        <w:overflowPunct/>
        <w:topLinePunct w:val="0"/>
        <w:autoSpaceDE/>
        <w:autoSpaceDN/>
        <w:bidi w:val="0"/>
        <w:adjustRightInd/>
        <w:snapToGrid/>
        <w:spacing w:line="480" w:lineRule="exact"/>
        <w:ind w:firstLine="800" w:firstLineChars="200"/>
        <w:textAlignment w:val="auto"/>
        <w:rPr>
          <w:rFonts w:hint="default" w:ascii="Times New Roman" w:hAnsi="Times New Roman" w:eastAsia="仿宋_GB2312" w:cs="Times New Roman"/>
          <w:sz w:val="40"/>
          <w:szCs w:val="40"/>
        </w:rPr>
      </w:pPr>
      <w:r>
        <w:rPr>
          <w:rFonts w:hint="default" w:ascii="Times New Roman" w:hAnsi="Times New Roman" w:eastAsia="仿宋_GB2312" w:cs="Times New Roman"/>
          <w:sz w:val="40"/>
          <w:szCs w:val="40"/>
        </w:rPr>
        <w:fldChar w:fldCharType="begin"/>
      </w:r>
      <w:r>
        <w:rPr>
          <w:rFonts w:hint="default" w:ascii="Times New Roman" w:hAnsi="Times New Roman" w:eastAsia="仿宋_GB2312" w:cs="Times New Roman"/>
          <w:sz w:val="40"/>
          <w:szCs w:val="40"/>
        </w:rPr>
        <w:instrText xml:space="preserve"> HYPERLINK "http://www.rudong.gov.cn/nw/upload/458cbd09-5fe7-49f8-be3d-508d9db4e134.docx" </w:instrText>
      </w:r>
      <w:r>
        <w:rPr>
          <w:rFonts w:hint="default" w:ascii="Times New Roman" w:hAnsi="Times New Roman" w:eastAsia="仿宋_GB2312" w:cs="Times New Roman"/>
          <w:sz w:val="40"/>
          <w:szCs w:val="40"/>
        </w:rPr>
        <w:fldChar w:fldCharType="separate"/>
      </w:r>
      <w:r>
        <w:rPr>
          <w:rFonts w:hint="eastAsia" w:ascii="Times New Roman" w:hAnsi="Times New Roman" w:eastAsia="仿宋_GB2312" w:cs="Times New Roman"/>
          <w:sz w:val="40"/>
          <w:szCs w:val="40"/>
        </w:rPr>
        <w:t>如东县农业农村局海洋渔业行业防汛、防台、防风应急预案</w:t>
      </w:r>
      <w:r>
        <w:rPr>
          <w:rFonts w:hint="eastAsia" w:ascii="Times New Roman" w:hAnsi="Times New Roman" w:eastAsia="仿宋_GB2312" w:cs="Times New Roman"/>
          <w:sz w:val="40"/>
          <w:szCs w:val="40"/>
        </w:rPr>
        <w:fldChar w:fldCharType="end"/>
      </w:r>
    </w:p>
    <w:p w14:paraId="6B291B4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rPr>
      </w:pPr>
      <w:bookmarkStart w:id="77" w:name="_GoBack"/>
      <w:bookmarkEnd w:id="77"/>
      <w:r>
        <w:rPr>
          <w:rFonts w:hint="default" w:ascii="Times New Roman" w:hAnsi="Times New Roman" w:eastAsia="仿宋_GB2312" w:cs="Times New Roman"/>
          <w:sz w:val="28"/>
          <w:szCs w:val="28"/>
        </w:rPr>
        <w:t>1 总则</w:t>
      </w:r>
      <w:r>
        <w:rPr>
          <w:rFonts w:hint="default" w:ascii="Times New Roman" w:hAnsi="Times New Roman" w:eastAsia="仿宋_GB2312" w:cs="Times New Roman"/>
          <w:sz w:val="28"/>
          <w:szCs w:val="28"/>
        </w:rPr>
        <w:tab/>
      </w:r>
    </w:p>
    <w:p w14:paraId="6511E8A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1.1编制目的</w:t>
      </w:r>
      <w:r>
        <w:rPr>
          <w:rFonts w:hint="default" w:ascii="Times New Roman" w:hAnsi="Times New Roman" w:eastAsia="仿宋_GB2312" w:cs="Times New Roman"/>
          <w:sz w:val="28"/>
          <w:szCs w:val="28"/>
        </w:rPr>
        <w:tab/>
      </w:r>
    </w:p>
    <w:p w14:paraId="4CC70FA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1.2编制依据</w:t>
      </w:r>
      <w:r>
        <w:rPr>
          <w:rFonts w:hint="default" w:ascii="Times New Roman" w:hAnsi="Times New Roman" w:eastAsia="仿宋_GB2312" w:cs="Times New Roman"/>
          <w:sz w:val="28"/>
          <w:szCs w:val="28"/>
        </w:rPr>
        <w:tab/>
      </w:r>
    </w:p>
    <w:p w14:paraId="2366289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1.3工作原则</w:t>
      </w:r>
      <w:r>
        <w:rPr>
          <w:rFonts w:hint="default" w:ascii="Times New Roman" w:hAnsi="Times New Roman" w:eastAsia="仿宋_GB2312" w:cs="Times New Roman"/>
          <w:sz w:val="28"/>
          <w:szCs w:val="28"/>
        </w:rPr>
        <w:tab/>
      </w:r>
    </w:p>
    <w:p w14:paraId="7A751E1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1.4适用范围</w:t>
      </w:r>
      <w:r>
        <w:rPr>
          <w:rFonts w:hint="default" w:ascii="Times New Roman" w:hAnsi="Times New Roman" w:eastAsia="仿宋_GB2312" w:cs="Times New Roman"/>
          <w:sz w:val="28"/>
          <w:szCs w:val="28"/>
        </w:rPr>
        <w:tab/>
      </w:r>
    </w:p>
    <w:p w14:paraId="091E924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rPr>
      </w:pPr>
      <w:r>
        <w:rPr>
          <w:rFonts w:hint="default" w:ascii="Times New Roman" w:hAnsi="Times New Roman" w:eastAsia="黑体" w:cs="Times New Roman"/>
          <w:sz w:val="28"/>
          <w:szCs w:val="28"/>
        </w:rPr>
        <w:t>2 组织机构及职责</w:t>
      </w:r>
      <w:r>
        <w:rPr>
          <w:rFonts w:hint="default" w:ascii="Times New Roman" w:hAnsi="Times New Roman" w:eastAsia="仿宋_GB2312" w:cs="Times New Roman"/>
          <w:sz w:val="28"/>
          <w:szCs w:val="28"/>
        </w:rPr>
        <w:tab/>
      </w:r>
    </w:p>
    <w:p w14:paraId="1F291FF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2.1局防汛防台防风工作领导小组</w:t>
      </w:r>
      <w:r>
        <w:rPr>
          <w:rFonts w:hint="default" w:ascii="Times New Roman" w:hAnsi="Times New Roman" w:eastAsia="仿宋_GB2312" w:cs="Times New Roman"/>
          <w:sz w:val="28"/>
          <w:szCs w:val="28"/>
        </w:rPr>
        <w:tab/>
      </w:r>
    </w:p>
    <w:p w14:paraId="138686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2.2局渔防组办公室</w:t>
      </w:r>
      <w:r>
        <w:rPr>
          <w:rFonts w:hint="default" w:ascii="Times New Roman" w:hAnsi="Times New Roman" w:eastAsia="仿宋_GB2312" w:cs="Times New Roman"/>
          <w:sz w:val="28"/>
          <w:szCs w:val="28"/>
        </w:rPr>
        <w:tab/>
      </w:r>
    </w:p>
    <w:p w14:paraId="480C2D0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2.3工作职责</w:t>
      </w:r>
      <w:r>
        <w:rPr>
          <w:rFonts w:hint="default" w:ascii="Times New Roman" w:hAnsi="Times New Roman" w:eastAsia="仿宋_GB2312" w:cs="Times New Roman"/>
          <w:sz w:val="28"/>
          <w:szCs w:val="28"/>
        </w:rPr>
        <w:tab/>
      </w:r>
    </w:p>
    <w:p w14:paraId="7D19153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3 预防预警和风险管控</w:t>
      </w:r>
      <w:r>
        <w:rPr>
          <w:rFonts w:hint="default" w:ascii="Times New Roman" w:hAnsi="Times New Roman" w:eastAsia="黑体" w:cs="Times New Roman"/>
          <w:sz w:val="28"/>
          <w:szCs w:val="28"/>
        </w:rPr>
        <w:tab/>
      </w:r>
    </w:p>
    <w:p w14:paraId="4CEBE89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3.1预防</w:t>
      </w:r>
      <w:r>
        <w:rPr>
          <w:rFonts w:hint="default" w:ascii="Times New Roman" w:hAnsi="Times New Roman" w:eastAsia="仿宋_GB2312" w:cs="Times New Roman"/>
          <w:sz w:val="28"/>
          <w:szCs w:val="28"/>
        </w:rPr>
        <w:tab/>
      </w:r>
    </w:p>
    <w:p w14:paraId="3B0FFAE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3.2预警</w:t>
      </w:r>
    </w:p>
    <w:p w14:paraId="7280494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3.3风险识别管控</w:t>
      </w:r>
      <w:r>
        <w:rPr>
          <w:rFonts w:hint="default" w:ascii="Times New Roman" w:hAnsi="Times New Roman" w:eastAsia="仿宋_GB2312" w:cs="Times New Roman"/>
          <w:sz w:val="28"/>
          <w:szCs w:val="28"/>
        </w:rPr>
        <w:tab/>
      </w:r>
    </w:p>
    <w:p w14:paraId="630DE8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4 应急响应分级与应急响应行动</w:t>
      </w:r>
      <w:r>
        <w:rPr>
          <w:rFonts w:hint="default" w:ascii="Times New Roman" w:hAnsi="Times New Roman" w:eastAsia="黑体" w:cs="Times New Roman"/>
          <w:sz w:val="28"/>
          <w:szCs w:val="28"/>
        </w:rPr>
        <w:tab/>
      </w:r>
    </w:p>
    <w:p w14:paraId="74D4E75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4.1应急响应分级</w:t>
      </w:r>
      <w:r>
        <w:rPr>
          <w:rFonts w:hint="default" w:ascii="Times New Roman" w:hAnsi="Times New Roman" w:eastAsia="仿宋_GB2312" w:cs="Times New Roman"/>
          <w:sz w:val="28"/>
          <w:szCs w:val="28"/>
        </w:rPr>
        <w:tab/>
      </w:r>
    </w:p>
    <w:p w14:paraId="0B57F37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4.2应急响应行动</w:t>
      </w:r>
      <w:r>
        <w:rPr>
          <w:rFonts w:hint="default" w:ascii="Times New Roman" w:hAnsi="Times New Roman" w:eastAsia="仿宋_GB2312" w:cs="Times New Roman"/>
          <w:sz w:val="28"/>
          <w:szCs w:val="28"/>
        </w:rPr>
        <w:tab/>
      </w:r>
    </w:p>
    <w:p w14:paraId="4EEB99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4.3抢险救援</w:t>
      </w:r>
      <w:r>
        <w:rPr>
          <w:rFonts w:hint="default" w:ascii="Times New Roman" w:hAnsi="Times New Roman" w:eastAsia="仿宋_GB2312" w:cs="Times New Roman"/>
          <w:sz w:val="28"/>
          <w:szCs w:val="28"/>
        </w:rPr>
        <w:tab/>
      </w:r>
    </w:p>
    <w:p w14:paraId="0460A77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4.4信息报送</w:t>
      </w:r>
      <w:r>
        <w:rPr>
          <w:rFonts w:hint="default" w:ascii="Times New Roman" w:hAnsi="Times New Roman" w:eastAsia="仿宋_GB2312" w:cs="Times New Roman"/>
          <w:sz w:val="28"/>
          <w:szCs w:val="28"/>
        </w:rPr>
        <w:tab/>
      </w:r>
    </w:p>
    <w:p w14:paraId="56B445D5">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5 灾后处置</w:t>
      </w:r>
      <w:r>
        <w:rPr>
          <w:rFonts w:hint="default" w:ascii="Times New Roman" w:hAnsi="Times New Roman" w:eastAsia="黑体" w:cs="Times New Roman"/>
          <w:sz w:val="28"/>
          <w:szCs w:val="28"/>
        </w:rPr>
        <w:tab/>
      </w:r>
    </w:p>
    <w:p w14:paraId="6166C9D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5.1灾后部署</w:t>
      </w:r>
      <w:r>
        <w:rPr>
          <w:rFonts w:hint="default" w:ascii="Times New Roman" w:hAnsi="Times New Roman" w:eastAsia="仿宋_GB2312" w:cs="Times New Roman"/>
          <w:sz w:val="28"/>
          <w:szCs w:val="28"/>
        </w:rPr>
        <w:tab/>
      </w:r>
    </w:p>
    <w:p w14:paraId="7436D5A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5.2灾后恢复</w:t>
      </w:r>
      <w:r>
        <w:rPr>
          <w:rFonts w:hint="default" w:ascii="Times New Roman" w:hAnsi="Times New Roman" w:eastAsia="仿宋_GB2312" w:cs="Times New Roman"/>
          <w:sz w:val="28"/>
          <w:szCs w:val="28"/>
        </w:rPr>
        <w:tab/>
      </w:r>
    </w:p>
    <w:p w14:paraId="1CCB6D4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5.3复盘评估</w:t>
      </w:r>
      <w:r>
        <w:rPr>
          <w:rFonts w:hint="default" w:ascii="Times New Roman" w:hAnsi="Times New Roman" w:eastAsia="仿宋_GB2312" w:cs="Times New Roman"/>
          <w:sz w:val="28"/>
          <w:szCs w:val="28"/>
        </w:rPr>
        <w:tab/>
      </w:r>
    </w:p>
    <w:p w14:paraId="2A78C50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6 应急演练</w:t>
      </w:r>
      <w:r>
        <w:rPr>
          <w:rFonts w:hint="default" w:ascii="Times New Roman" w:hAnsi="Times New Roman" w:eastAsia="黑体" w:cs="Times New Roman"/>
          <w:sz w:val="28"/>
          <w:szCs w:val="28"/>
        </w:rPr>
        <w:tab/>
      </w:r>
    </w:p>
    <w:p w14:paraId="3288441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7 预案管理</w:t>
      </w:r>
      <w:r>
        <w:rPr>
          <w:rFonts w:hint="default" w:ascii="Times New Roman" w:hAnsi="Times New Roman" w:eastAsia="黑体" w:cs="Times New Roman"/>
          <w:sz w:val="28"/>
          <w:szCs w:val="28"/>
        </w:rPr>
        <w:tab/>
      </w:r>
    </w:p>
    <w:p w14:paraId="585B67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7.1管理与更新</w:t>
      </w:r>
      <w:r>
        <w:rPr>
          <w:rFonts w:hint="default" w:ascii="Times New Roman" w:hAnsi="Times New Roman" w:eastAsia="仿宋_GB2312" w:cs="Times New Roman"/>
          <w:sz w:val="28"/>
          <w:szCs w:val="28"/>
        </w:rPr>
        <w:tab/>
      </w:r>
    </w:p>
    <w:p w14:paraId="5BA1327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36"/>
          <w:szCs w:val="36"/>
        </w:rPr>
      </w:pPr>
      <w:r>
        <w:rPr>
          <w:rFonts w:hint="default" w:ascii="Times New Roman" w:hAnsi="Times New Roman" w:eastAsia="仿宋_GB2312" w:cs="Times New Roman"/>
          <w:sz w:val="28"/>
          <w:szCs w:val="28"/>
        </w:rPr>
        <w:t>7.2预案实施</w:t>
      </w:r>
      <w:r>
        <w:rPr>
          <w:rFonts w:hint="default" w:ascii="Times New Roman" w:hAnsi="Times New Roman" w:eastAsia="仿宋_GB2312" w:cs="Times New Roman"/>
          <w:sz w:val="28"/>
          <w:szCs w:val="28"/>
        </w:rPr>
        <w:tab/>
      </w:r>
      <w:bookmarkStart w:id="0" w:name="_Toc13561"/>
      <w:bookmarkStart w:id="1" w:name="_Toc31753"/>
      <w:bookmarkStart w:id="2" w:name="_Toc15437"/>
    </w:p>
    <w:p w14:paraId="644A9BCC">
      <w:pPr>
        <w:pStyle w:val="5"/>
        <w:pageBreakBefore w:val="0"/>
        <w:widowControl w:val="0"/>
        <w:tabs>
          <w:tab w:val="left" w:pos="1260"/>
        </w:tabs>
        <w:kinsoku/>
        <w:wordWrap/>
        <w:overflowPunct/>
        <w:topLinePunct w:val="0"/>
        <w:autoSpaceDE/>
        <w:autoSpaceDN/>
        <w:bidi w:val="0"/>
        <w:adjustRightInd/>
        <w:snapToGrid w:val="0"/>
        <w:spacing w:before="0" w:after="0" w:line="590" w:lineRule="exact"/>
        <w:textAlignment w:val="auto"/>
        <w:rPr>
          <w:rFonts w:hint="default" w:ascii="Times New Roman" w:hAnsi="Times New Roman" w:cs="Times New Roman"/>
          <w:b w:val="0"/>
          <w:bCs/>
          <w:sz w:val="36"/>
          <w:szCs w:val="36"/>
        </w:rPr>
      </w:pPr>
      <w:r>
        <w:rPr>
          <w:rFonts w:hint="default" w:ascii="Times New Roman" w:hAnsi="Times New Roman" w:eastAsia="黑体" w:cs="Times New Roman"/>
          <w:b w:val="0"/>
          <w:bCs/>
          <w:sz w:val="32"/>
          <w:szCs w:val="32"/>
        </w:rPr>
        <w:t>1</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总则</w:t>
      </w:r>
      <w:bookmarkEnd w:id="0"/>
      <w:bookmarkEnd w:id="1"/>
      <w:bookmarkEnd w:id="2"/>
      <w:r>
        <w:rPr>
          <w:rFonts w:hint="default" w:ascii="Times New Roman" w:hAnsi="Times New Roman" w:cs="Times New Roman"/>
          <w:b w:val="0"/>
          <w:bCs/>
          <w:sz w:val="36"/>
          <w:szCs w:val="36"/>
        </w:rPr>
        <w:tab/>
      </w:r>
    </w:p>
    <w:p w14:paraId="217D2767">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3" w:name="_Toc4392"/>
      <w:bookmarkStart w:id="4" w:name="_Toc6041"/>
      <w:bookmarkStart w:id="5" w:name="_Toc17831"/>
      <w:r>
        <w:rPr>
          <w:rFonts w:hint="default" w:ascii="Times New Roman" w:hAnsi="Times New Roman" w:eastAsia="楷体_GB2312" w:cs="Times New Roman"/>
          <w:b w:val="0"/>
          <w:bCs/>
          <w:sz w:val="32"/>
          <w:szCs w:val="32"/>
        </w:rPr>
        <w:t>1.1编制目的</w:t>
      </w:r>
      <w:bookmarkEnd w:id="3"/>
      <w:bookmarkEnd w:id="4"/>
      <w:bookmarkEnd w:id="5"/>
    </w:p>
    <w:p w14:paraId="09CC826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以习近平新时代中国特色社会主义思想为指导，坚持“人民至上、生命至上”，坚持以防为主，防抗救相结合，防范化解海洋渔业领域台风等风灾、水灾风险，做好海洋渔业领域汛情、台风等大风灾害的防范和处置工作，保证海洋渔业防汛、防台、防风应急工作依法、科学、有序、高效进行，把灾害造成的损失减少到最低限度，切实保障渔农民生命财产安全，维护渔区社会稳定。</w:t>
      </w:r>
    </w:p>
    <w:p w14:paraId="212FDC99">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6" w:name="_Toc1397"/>
      <w:bookmarkStart w:id="7" w:name="_Toc22765"/>
      <w:bookmarkStart w:id="8" w:name="_Toc21016"/>
      <w:r>
        <w:rPr>
          <w:rFonts w:hint="default" w:ascii="Times New Roman" w:hAnsi="Times New Roman" w:eastAsia="楷体_GB2312" w:cs="Times New Roman"/>
          <w:b w:val="0"/>
          <w:bCs/>
          <w:sz w:val="32"/>
          <w:szCs w:val="32"/>
        </w:rPr>
        <w:t>1.2编制依据</w:t>
      </w:r>
      <w:bookmarkEnd w:id="6"/>
      <w:bookmarkEnd w:id="7"/>
      <w:bookmarkEnd w:id="8"/>
    </w:p>
    <w:p w14:paraId="17D9893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《中华人民共和国突发事件应对法》</w:t>
      </w:r>
    </w:p>
    <w:p w14:paraId="5426E48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《中华人民共</w:t>
      </w:r>
      <w:r>
        <w:rPr>
          <w:rFonts w:hint="eastAsia" w:eastAsia="仿宋_GB2312" w:cs="Times New Roman"/>
          <w:color w:val="000000"/>
          <w:kern w:val="0"/>
          <w:sz w:val="32"/>
          <w:szCs w:val="32"/>
          <w:lang w:val="en-US" w:eastAsia="zh-CN"/>
        </w:rPr>
        <w:t>和</w:t>
      </w:r>
      <w:r>
        <w:rPr>
          <w:rFonts w:hint="default" w:ascii="Times New Roman" w:hAnsi="Times New Roman" w:eastAsia="仿宋_GB2312" w:cs="Times New Roman"/>
          <w:color w:val="000000"/>
          <w:kern w:val="0"/>
          <w:sz w:val="32"/>
          <w:szCs w:val="32"/>
        </w:rPr>
        <w:t>国渔业法》</w:t>
      </w:r>
    </w:p>
    <w:p w14:paraId="20DE9C4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《中华人民共和国水法》</w:t>
      </w:r>
    </w:p>
    <w:p w14:paraId="5915D11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《中华人民共和国防洪法》</w:t>
      </w:r>
    </w:p>
    <w:p w14:paraId="502D745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《突发事件应急预案管理办法》</w:t>
      </w:r>
    </w:p>
    <w:p w14:paraId="15445B1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《中华人民共和国防汛条例》</w:t>
      </w:r>
    </w:p>
    <w:p w14:paraId="50FE0A8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《气象灾害防御条例》</w:t>
      </w:r>
    </w:p>
    <w:p w14:paraId="6E5EF12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《江苏省渔业管理条例》</w:t>
      </w:r>
    </w:p>
    <w:p w14:paraId="325C3D46">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《江苏省防洪条例》</w:t>
      </w:r>
    </w:p>
    <w:p w14:paraId="7782352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《渔业船舶水上突发事件应急预案》</w:t>
      </w:r>
    </w:p>
    <w:p w14:paraId="7138334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《省政府办公厅关于建立海洋渔船防风避险机制的通知》</w:t>
      </w:r>
    </w:p>
    <w:p w14:paraId="040A5FF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《江苏省海洋渔业安全生产应急预案》</w:t>
      </w:r>
    </w:p>
    <w:p w14:paraId="7E66229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《南通市防御台风应急预案》</w:t>
      </w:r>
    </w:p>
    <w:p w14:paraId="7B79F1C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《南通市海洋自然灾害应急预案》</w:t>
      </w:r>
    </w:p>
    <w:p w14:paraId="430C711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《南通市渔业水上安全突发事件应急预案（2020年修订版）》</w:t>
      </w:r>
    </w:p>
    <w:p w14:paraId="027A5A2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《如东县突发公共事件总体应急预案》</w:t>
      </w:r>
    </w:p>
    <w:p w14:paraId="1404C6E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《如东县防汛防旱应急预案》</w:t>
      </w:r>
    </w:p>
    <w:p w14:paraId="5AC9EFE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《如东县气象灾害应急预案（2020年修订版）》</w:t>
      </w:r>
    </w:p>
    <w:p w14:paraId="75E6962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《如东县防御台风应急预案》</w:t>
      </w:r>
    </w:p>
    <w:p w14:paraId="59C9C35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《如东县港口突发事件应急预案》</w:t>
      </w:r>
    </w:p>
    <w:p w14:paraId="629A76A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《如东县海洋自然灾害应急预案》</w:t>
      </w:r>
    </w:p>
    <w:p w14:paraId="5AE07C92">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9" w:name="_Toc6924"/>
      <w:bookmarkStart w:id="10" w:name="_Toc4354"/>
      <w:bookmarkStart w:id="11" w:name="_Toc3766"/>
      <w:r>
        <w:rPr>
          <w:rFonts w:hint="default" w:ascii="Times New Roman" w:hAnsi="Times New Roman" w:eastAsia="楷体_GB2312" w:cs="Times New Roman"/>
          <w:b w:val="0"/>
          <w:bCs/>
          <w:sz w:val="32"/>
          <w:szCs w:val="32"/>
        </w:rPr>
        <w:t>1.3工作原则</w:t>
      </w:r>
      <w:bookmarkEnd w:id="9"/>
      <w:bookmarkEnd w:id="10"/>
      <w:bookmarkEnd w:id="11"/>
    </w:p>
    <w:p w14:paraId="2DD21F0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海洋渔业行业防汛、防台、防风工作坚持以人为本、安全第一，以防为主、防抗救结合、统一指挥、分级负责、属地管理为主的原则。防汛、防台、防风工作的重点是渔船、渔港、海水养殖基地的预防和应急处置，立足于早预警、早部署、早防范、早落实，保安全。</w:t>
      </w:r>
    </w:p>
    <w:p w14:paraId="17A195EA">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12" w:name="_Toc27317"/>
      <w:bookmarkStart w:id="13" w:name="_Toc9242"/>
      <w:bookmarkStart w:id="14" w:name="_Toc24764"/>
      <w:r>
        <w:rPr>
          <w:rFonts w:hint="default" w:ascii="Times New Roman" w:hAnsi="Times New Roman" w:eastAsia="楷体_GB2312" w:cs="Times New Roman"/>
          <w:b w:val="0"/>
          <w:bCs/>
          <w:sz w:val="32"/>
          <w:szCs w:val="32"/>
        </w:rPr>
        <w:t>1.4适用范围</w:t>
      </w:r>
      <w:bookmarkEnd w:id="12"/>
      <w:bookmarkEnd w:id="13"/>
      <w:bookmarkEnd w:id="14"/>
    </w:p>
    <w:p w14:paraId="371C344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本预案适用于如东县农业农村局海洋渔业行业防汛、防台、防风工作的应急响应。</w:t>
      </w:r>
    </w:p>
    <w:p w14:paraId="6BFEEF67">
      <w:pPr>
        <w:pStyle w:val="5"/>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15" w:name="_Toc9756"/>
      <w:bookmarkStart w:id="16" w:name="_Toc1913"/>
      <w:bookmarkStart w:id="17" w:name="_Toc2550"/>
      <w:r>
        <w:rPr>
          <w:rFonts w:hint="default" w:ascii="Times New Roman" w:hAnsi="Times New Roman" w:eastAsia="黑体" w:cs="Times New Roman"/>
          <w:b w:val="0"/>
          <w:bCs/>
          <w:sz w:val="32"/>
          <w:szCs w:val="32"/>
        </w:rPr>
        <w:t>2</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组织机构及职责</w:t>
      </w:r>
      <w:bookmarkEnd w:id="15"/>
      <w:bookmarkEnd w:id="16"/>
      <w:bookmarkEnd w:id="17"/>
    </w:p>
    <w:p w14:paraId="1B80CBC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县农业农村局海洋渔业防汛、防台、防风工作在县政府统一领导下、在上级相关部门的指导下进行，具体服从县防汛防旱指挥部（以下简称县防指）统一指挥，以及上级相关部门的协调。</w:t>
      </w:r>
    </w:p>
    <w:p w14:paraId="6C5F44D8">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18" w:name="_Toc5826"/>
      <w:bookmarkStart w:id="19" w:name="_Toc19346"/>
      <w:bookmarkStart w:id="20" w:name="_Toc26181"/>
      <w:r>
        <w:rPr>
          <w:rFonts w:hint="default" w:ascii="Times New Roman" w:hAnsi="Times New Roman" w:eastAsia="楷体_GB2312" w:cs="Times New Roman"/>
          <w:b w:val="0"/>
          <w:bCs/>
          <w:sz w:val="32"/>
          <w:szCs w:val="32"/>
        </w:rPr>
        <w:t>2.1局防汛防台防风工作领导小组</w:t>
      </w:r>
      <w:bookmarkEnd w:id="18"/>
      <w:bookmarkEnd w:id="19"/>
      <w:bookmarkEnd w:id="20"/>
    </w:p>
    <w:p w14:paraId="6AAF9C8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县农业农村局成立海洋渔业防汛防台防风工作领导小组（以下简称局渔防组），负责全县海洋渔业防汛防台防风工作。局渔防组组成：</w:t>
      </w:r>
    </w:p>
    <w:p w14:paraId="4836F24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（1）局主要领导任组长。负责全县海洋渔业防汛防台防风应急工作，参加市有关部门、县政府、县防指召开的防汛防台防风工作会议。</w:t>
      </w:r>
    </w:p>
    <w:p w14:paraId="38201DA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（2）分管海洋渔业安全生产的局领导任常务副组长。负责全局海洋渔业防汛防台防风应急处置的具体组织和协调工作。</w:t>
      </w:r>
    </w:p>
    <w:p w14:paraId="71BAC0E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（3）其他与海洋渔业有关的局分管领导任副组长。当防汛防台防风工作进入应急响应阶段，视情参与应急值班，带队检查、指导镇（区、街道）海洋渔业防汛防台防风和灾后重建工作。</w:t>
      </w:r>
    </w:p>
    <w:p w14:paraId="2024E66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（4）各相关科室、部门主要负责人为成员。根据科室、部门职能，结合防汛防台防风工作分工，履行职责和任务。</w:t>
      </w:r>
    </w:p>
    <w:p w14:paraId="6172CF4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bookmarkStart w:id="21" w:name="_Toc15700"/>
      <w:bookmarkStart w:id="22" w:name="_Toc14899"/>
      <w:bookmarkStart w:id="23" w:name="_Toc20125"/>
      <w:r>
        <w:rPr>
          <w:rFonts w:hint="default" w:ascii="Times New Roman" w:hAnsi="Times New Roman" w:eastAsia="仿宋_GB2312" w:cs="Times New Roman"/>
          <w:color w:val="000000"/>
          <w:kern w:val="0"/>
          <w:sz w:val="32"/>
          <w:szCs w:val="32"/>
        </w:rPr>
        <w:t>2.2局渔防组办公室</w:t>
      </w:r>
      <w:bookmarkEnd w:id="21"/>
      <w:bookmarkEnd w:id="22"/>
      <w:bookmarkEnd w:id="23"/>
    </w:p>
    <w:p w14:paraId="03162C8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局渔防组下设办公室（以下简称“局渔防办”）。局渔防办设在局渔业渔政科。局渔防办组成：</w:t>
      </w:r>
    </w:p>
    <w:p w14:paraId="25A0C0C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（1）局渔防组常务副组长兼任局渔防办主任。</w:t>
      </w:r>
    </w:p>
    <w:p w14:paraId="5B8599B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（2）局渔业渔政科主要负责人任常务副主任，局办公室、县渔政监督大队主要负责人任副主任，具体负责局渔防办日常工作。</w:t>
      </w:r>
    </w:p>
    <w:p w14:paraId="4D5E7E9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（3）局渔防办成员由局办公室、渔业渔政科、渔业技术推广站、县渔政监督大队及海上搜救中心等相关科室和部门人员组成。</w:t>
      </w:r>
    </w:p>
    <w:p w14:paraId="57DA3FC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（4）局渔防办24小时值班电话：84512913，传真：84524462；县渔政监督大队海上搜救中心24小时值班电话：84519595，传真：84529595。</w:t>
      </w:r>
      <w:bookmarkStart w:id="24" w:name="_Toc3166"/>
      <w:bookmarkStart w:id="25" w:name="_Toc29333"/>
      <w:bookmarkStart w:id="26" w:name="_Toc14591"/>
    </w:p>
    <w:p w14:paraId="73C082B3">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rPr>
        <w:t>2.3工作职责</w:t>
      </w:r>
      <w:bookmarkEnd w:id="24"/>
      <w:bookmarkEnd w:id="25"/>
      <w:bookmarkEnd w:id="26"/>
    </w:p>
    <w:p w14:paraId="611BFB0E">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2.3.1</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局渔防组职责</w:t>
      </w:r>
    </w:p>
    <w:p w14:paraId="2630CDF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（1）贯彻上级有关防汛防台防风工作方针、政策和指示，指挥协调全县海洋渔业防汛防台防风工作。</w:t>
      </w:r>
    </w:p>
    <w:p w14:paraId="3B4B3D1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（2）明确相关科室、部门防汛防台防风工作职责，研究部署防汛防台防风工作，制订落实各项防汛防台防风计划和应急对策。</w:t>
      </w:r>
    </w:p>
    <w:p w14:paraId="3D956FC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（3）督促、检查各镇（区、街道）渔船、渔港、海水养殖基地防汛防台防风措施落实情况，组织实施防汛防台防风应急救助工作。</w:t>
      </w:r>
    </w:p>
    <w:p w14:paraId="67DBF48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（4）及时掌握全县海洋渔业防汛防台防风工作动态，全面了解灾情，迅速采取防灾、抗灾和救灾措施。</w:t>
      </w:r>
    </w:p>
    <w:p w14:paraId="450F476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（5）表彰奖励防汛防台防风工作中有突出贡献的集体和个人，推广先进防汛防台防风工作经验。</w:t>
      </w:r>
    </w:p>
    <w:p w14:paraId="330B57E5">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2.3.2</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局渔防组成员科室、部门职责</w:t>
      </w:r>
    </w:p>
    <w:p w14:paraId="3B4C37CE">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（1）局办公室：负责安排全局防汛防台防风应急值班</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车辆等后勤保障工作。</w:t>
      </w:r>
    </w:p>
    <w:p w14:paraId="0A5DF69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渔业渔政科：根据局渔防组或县防指指令，负责拟定海洋渔业防汛防台防风通知和指令。负责做好全县海洋渔业防汛防台防风工作信息收集和汇总。负责指导全县海水养殖基地防汛防台防风工作，及时掌握海洋渔业防汛防台防风工作情况。</w:t>
      </w:r>
    </w:p>
    <w:p w14:paraId="664C5B9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（3）县渔政监督大队：负责搜救中心日常工作的组织领导、预警预报、应急指挥工作；负责落实抢险救灾应急船艇，并要求24小时待命；督促检查各重点渔港、避风场所、渔船避风等情况，及时处置突发情况。</w:t>
      </w:r>
    </w:p>
    <w:p w14:paraId="30CAB4C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海上搜救中心：负责日常防汛防台防风应急值班，及时掌握汛情、台风和寒潮等动态和气象信息；负责渔船动态监控，负责向镇区、街道、渔船服务组织及海洋渔业管理相关人员发送预警信息；负责发送局渔防组或县防指等政府和上级部门的指令；负责掌握渔船实时动态和通信联络保障工作。</w:t>
      </w:r>
    </w:p>
    <w:p w14:paraId="54B1234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（4）渔业技术推广站：负责海洋渔业防汛防台防风和灾后救灾恢复生产的渔业技术指导；参与灾后恢复生产技术指导和水生动物疫病防控工作；协助做好海洋渔业防汛防台防风总结评估工作。</w:t>
      </w:r>
    </w:p>
    <w:p w14:paraId="52F3607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（5）相关渔业保险机构：负责做好海洋渔业生产单位的投保工作。一旦发生灾情，及时开展投保标的损失勘验理赔，帮助受灾单位尽快恢复生产。</w:t>
      </w:r>
    </w:p>
    <w:p w14:paraId="3E72086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（7）其它科室、部门：按照局渔防组部署安排，认真落实好各项工作。</w:t>
      </w:r>
    </w:p>
    <w:p w14:paraId="1107A94E">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2.3.3</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局渔防办职责</w:t>
      </w:r>
    </w:p>
    <w:p w14:paraId="4CA63A4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（1）负责防汛防台防风日常工作，完善防汛防台防风工作预案。</w:t>
      </w:r>
    </w:p>
    <w:p w14:paraId="0AB708E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（2）根据上级有关部门、县防指和局渔防组指令，传达防汛防台防风和救灾工作要求，及时起草、发布海洋渔业防汛防台防风通知和应急响应指令。</w:t>
      </w:r>
    </w:p>
    <w:p w14:paraId="09EDA72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根据局渔防组指令，负责拟定全县海洋渔业防汛防台防风督查工作计划并组织实施。保持与上级有关部门、县防指、各镇（区、街道）海洋渔业管理部门和本单位成员科室、部门之间的信息联系，及时汇总上报和通报防汛防台防风工作及应急情况。</w:t>
      </w:r>
    </w:p>
    <w:p w14:paraId="127E6D7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（4）负责上报受灾损失和抢险救灾等情况，防汛防台防风应急响应结束后做好工作总结。</w:t>
      </w:r>
    </w:p>
    <w:p w14:paraId="68CA7B46">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2.3.4</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应急工作组</w:t>
      </w:r>
    </w:p>
    <w:p w14:paraId="4168D6A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海洋渔业防汛防台防风应急工作组为临时性组织，由局渔防组根据汛情、台风等级、大风强度和应急响应级别研究决定是否组建。主要任务是负责本系统在防汛防台防风工作出现重大险情或灾害性事件时的应急处理工作。</w:t>
      </w:r>
    </w:p>
    <w:p w14:paraId="48ADF06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（1）风险管控组：组长由县渔政监督大队主要负责人兼任；负责风险监测、研判、提示、管控、抢险救灾等工作。 </w:t>
      </w:r>
    </w:p>
    <w:p w14:paraId="3E2CD60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（2）技术保障组：组长由县渔政监督大队分管负责人兼任；负责海洋渔业防汛防台防风通信联络畅通和海洋渔船安全救助信息系统技术保障。 </w:t>
      </w:r>
    </w:p>
    <w:p w14:paraId="7E57D15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（3）灾后指导组：组长由渔业技术推广站主要负责人兼任；负责海洋渔业灾后救灾和恢复生产工作。</w:t>
      </w:r>
    </w:p>
    <w:p w14:paraId="2BC6C9AE">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（4）综合保障组：由局办公室主要负责人兼任；负责海洋渔业防汛防台防风应急车辆。</w:t>
      </w:r>
    </w:p>
    <w:p w14:paraId="7F87A4F2">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2.3.5</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镇（区、街道）海洋渔业防汛防台防风组织机构</w:t>
      </w:r>
    </w:p>
    <w:p w14:paraId="3DC3AC7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各镇(区、街道)应设立海洋渔业防汛防台防风组织机构，明确职责分工,在局渔防组的指导下,负责本辖区海洋渔业防汛防台防风工作。</w:t>
      </w:r>
    </w:p>
    <w:p w14:paraId="1DA93975">
      <w:pPr>
        <w:pStyle w:val="5"/>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27" w:name="_Toc19053"/>
      <w:bookmarkStart w:id="28" w:name="_Toc13599"/>
      <w:bookmarkStart w:id="29" w:name="_Toc28162"/>
      <w:r>
        <w:rPr>
          <w:rFonts w:hint="default" w:ascii="Times New Roman" w:hAnsi="Times New Roman" w:eastAsia="黑体" w:cs="Times New Roman"/>
          <w:b w:val="0"/>
          <w:bCs/>
          <w:sz w:val="32"/>
          <w:szCs w:val="32"/>
        </w:rPr>
        <w:t>3</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预防预警和风险管控</w:t>
      </w:r>
      <w:bookmarkEnd w:id="27"/>
      <w:bookmarkEnd w:id="28"/>
      <w:bookmarkEnd w:id="29"/>
    </w:p>
    <w:p w14:paraId="421455D9">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30" w:name="_Toc3468"/>
      <w:bookmarkStart w:id="31" w:name="_Toc22330"/>
      <w:bookmarkStart w:id="32" w:name="_Toc10226"/>
      <w:r>
        <w:rPr>
          <w:rFonts w:hint="default" w:ascii="Times New Roman" w:hAnsi="Times New Roman" w:eastAsia="楷体_GB2312" w:cs="Times New Roman"/>
          <w:b w:val="0"/>
          <w:bCs/>
          <w:sz w:val="32"/>
          <w:szCs w:val="32"/>
        </w:rPr>
        <w:t>3.1预防</w:t>
      </w:r>
      <w:bookmarkEnd w:id="30"/>
      <w:bookmarkEnd w:id="31"/>
    </w:p>
    <w:p w14:paraId="6CCC8F0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县农业农村局相关科室和单位和沿海镇（区、街道）要组织宣传有关海洋渔业安全生产的法律、法规和政策，提高海洋渔业船东、经营人、船长等相关人员的防汛防台防风意识，指导落实第一责任人责任，切实抓好隐患排查和整改，引导和教育渔民遵纪守法、依法生产经营。</w:t>
      </w:r>
    </w:p>
    <w:p w14:paraId="545B516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（２）县农业农村局和沿海镇（区、街道）要组织海洋渔业船舶船员参加安全操作技能、安全防范等方面的培训，增强渔民的安全意识、法制意识和自我保护意识。</w:t>
      </w:r>
    </w:p>
    <w:p w14:paraId="1312D95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（３）县农业农村局、镇（区、街道）和渔船服务组织要健全海洋渔业安全通信网络，引导海洋渔船编队、编组作业，提高自救和互救能力。</w:t>
      </w:r>
    </w:p>
    <w:p w14:paraId="455D0C3E">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33" w:name="_Toc28113"/>
      <w:bookmarkStart w:id="34" w:name="_Toc3916"/>
      <w:r>
        <w:rPr>
          <w:rFonts w:hint="default" w:ascii="Times New Roman" w:hAnsi="Times New Roman" w:eastAsia="楷体_GB2312" w:cs="Times New Roman"/>
          <w:b w:val="0"/>
          <w:bCs/>
          <w:sz w:val="32"/>
          <w:szCs w:val="32"/>
        </w:rPr>
        <w:t>3.2预警</w:t>
      </w:r>
      <w:bookmarkEnd w:id="32"/>
      <w:bookmarkEnd w:id="33"/>
      <w:bookmarkEnd w:id="34"/>
    </w:p>
    <w:p w14:paraId="5829DE7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建立县、镇（区、街道）二级海洋渔业防汛、防台、防风的预警、会商、联动机制；根据气象、海洋监测预报部门预报的台风、海上大风、海浪、雨情等情况,适时向渔港、渔业企业、渔船服务组织、渔船等发送预警，做好防汛防台防风工作。</w:t>
      </w:r>
    </w:p>
    <w:p w14:paraId="46DECA14">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35" w:name="_Toc32070"/>
      <w:bookmarkStart w:id="36" w:name="_Toc3818"/>
      <w:bookmarkStart w:id="37" w:name="_Toc21669"/>
      <w:r>
        <w:rPr>
          <w:rFonts w:hint="default" w:ascii="Times New Roman" w:hAnsi="Times New Roman" w:eastAsia="楷体_GB2312" w:cs="Times New Roman"/>
          <w:b w:val="0"/>
          <w:bCs/>
          <w:sz w:val="32"/>
          <w:szCs w:val="32"/>
        </w:rPr>
        <w:t>3.3风险识别管控</w:t>
      </w:r>
      <w:bookmarkEnd w:id="35"/>
      <w:bookmarkEnd w:id="36"/>
      <w:bookmarkEnd w:id="37"/>
    </w:p>
    <w:p w14:paraId="4E530053">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3.3.1</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风险识别</w:t>
      </w:r>
    </w:p>
    <w:p w14:paraId="24FC618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局渔防组根据气象、海洋监测预报部门发布和提供的信息，分析研判汛情、台风等大风发展趋势、影响区域、海浪等级、受影响渔船和海水养殖区，组织科室、单位负责人与镇（区、街道）海洋渔业防汛防台防风组织机构进行会商,分析和研判汛情、台风等大风可能带来的风险程度。</w:t>
      </w:r>
    </w:p>
    <w:p w14:paraId="1097B96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根据汛情、台风和大风天气对本地及海域的影响程度将风险分为Ⅳ、Ⅲ、Ⅱ、Ⅰ四个级别，分别代表特别严重、严重、较重和一般，颜色依次为蓝色、黄色、橙色、红色。</w:t>
      </w:r>
    </w:p>
    <w:p w14:paraId="07130375">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3.3.2</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风险提示</w:t>
      </w:r>
    </w:p>
    <w:p w14:paraId="6D33008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防汛防台防风期间,局渔防组根据汛情、台风和大风位置、移动方向和速度等情况，分析海洋渔业防汛防台防风的风险隐患，列出风险清单及管控要求，报县防指，并发送风险提示单。</w:t>
      </w:r>
    </w:p>
    <w:p w14:paraId="5643BB80">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3.3.3</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风险管控</w:t>
      </w:r>
    </w:p>
    <w:p w14:paraId="16BEC9B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镇（区、街道）根据局渔防组和本级防指要求，落实本职范围内海洋渔业防汛防台防风管控措施，实现风险闭环管理。</w:t>
      </w:r>
    </w:p>
    <w:p w14:paraId="48BB117B">
      <w:pPr>
        <w:pStyle w:val="5"/>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38" w:name="_Toc8635"/>
      <w:bookmarkStart w:id="39" w:name="_Toc30378"/>
      <w:bookmarkStart w:id="40" w:name="_Toc3927"/>
      <w:r>
        <w:rPr>
          <w:rFonts w:hint="default" w:ascii="Times New Roman" w:hAnsi="Times New Roman" w:eastAsia="黑体" w:cs="Times New Roman"/>
          <w:b w:val="0"/>
          <w:bCs/>
          <w:sz w:val="32"/>
          <w:szCs w:val="32"/>
        </w:rPr>
        <w:t>4</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应急响应分级与应急响应行动</w:t>
      </w:r>
      <w:bookmarkEnd w:id="38"/>
      <w:bookmarkEnd w:id="39"/>
      <w:bookmarkEnd w:id="40"/>
    </w:p>
    <w:p w14:paraId="34BF06DA">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41" w:name="_Toc28387"/>
      <w:bookmarkStart w:id="42" w:name="_Toc11335"/>
      <w:bookmarkStart w:id="43" w:name="_Toc21251"/>
      <w:r>
        <w:rPr>
          <w:rFonts w:hint="default" w:ascii="Times New Roman" w:hAnsi="Times New Roman" w:eastAsia="楷体_GB2312" w:cs="Times New Roman"/>
          <w:b w:val="0"/>
          <w:bCs/>
          <w:sz w:val="32"/>
          <w:szCs w:val="32"/>
        </w:rPr>
        <w:t>4.1应急响应分级</w:t>
      </w:r>
      <w:bookmarkEnd w:id="41"/>
      <w:bookmarkEnd w:id="42"/>
      <w:bookmarkEnd w:id="43"/>
    </w:p>
    <w:p w14:paraId="5844EAC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32"/>
          <w:szCs w:val="32"/>
        </w:rPr>
        <w:t>按照严重程度和影响范围,海洋渔业防汛防台防风应急响应分为一般(IV级)、较大(III级)、重大(II级)和特别重大(I级)四级，颜色依次为蓝色、黄色、橙色、红色。</w:t>
      </w:r>
    </w:p>
    <w:p w14:paraId="00C98317">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4.1.1</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 xml:space="preserve">出现以下情况之一的，启动IV级响应： </w:t>
      </w:r>
    </w:p>
    <w:p w14:paraId="21A6E2A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（1）根据气象、海洋监测预报部门发布的消息，台风（热带风暴）96小时内可能影响本县渔船所在海域。</w:t>
      </w:r>
    </w:p>
    <w:p w14:paraId="0B75820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（2）24小时内暴雨可能影响本县沿海水产养殖区域。</w:t>
      </w:r>
    </w:p>
    <w:p w14:paraId="425C831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（3）未来48小时本县渔船所在海域或海水养殖区域有大风蓝色预警;</w:t>
      </w:r>
    </w:p>
    <w:p w14:paraId="40C25AE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（4）县防指启动相应IV级响应。</w:t>
      </w:r>
    </w:p>
    <w:p w14:paraId="03D9517D">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4.1.2</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 xml:space="preserve">出现以下情况之一的，启动III级响应: </w:t>
      </w:r>
    </w:p>
    <w:p w14:paraId="00F3DC6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（1）根据气象、海洋监测预报部门发布的消息，台风（热带风暴）72小时内可能影响本县作业渔船所在海域。</w:t>
      </w:r>
    </w:p>
    <w:p w14:paraId="06939CF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（2）未来48小时本县渔船所在海域或沿海水产养殖区域有大风黄色预警。</w:t>
      </w:r>
    </w:p>
    <w:p w14:paraId="7996D1C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（3）过去24小时本县沿海水产养殖区域出现大暴雨天气，未来24小时仍将出现暴雨天气。</w:t>
      </w:r>
    </w:p>
    <w:p w14:paraId="49E8710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（4）县防指启动相应III级响应。 </w:t>
      </w:r>
    </w:p>
    <w:p w14:paraId="5BC783A7">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4.1.3</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 xml:space="preserve">出现以下情况之一的，启动II级响应: </w:t>
      </w:r>
    </w:p>
    <w:p w14:paraId="4AA359B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（1）根据气象、海洋监测预报部门发布的消息，台风（热带风暴）48小时内可能影响本县作业渔船所在海域。</w:t>
      </w:r>
    </w:p>
    <w:p w14:paraId="4FAEF97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（2）未来48小时本县渔船所在海域或沿海水产养殖区域有大风橙色预警。</w:t>
      </w:r>
    </w:p>
    <w:p w14:paraId="6122285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（3）过去48小时本县沿海水产养殖区域出现大暴雨天气，未来24小时仍将出现暴雨天气。</w:t>
      </w:r>
    </w:p>
    <w:p w14:paraId="793CF78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（4）县防指启动相应II级响应。 </w:t>
      </w:r>
    </w:p>
    <w:p w14:paraId="4B289E40">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4.1.4</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 xml:space="preserve">出现以下情况之一的，启动I级响应: </w:t>
      </w:r>
    </w:p>
    <w:p w14:paraId="38B215BE">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（1）根据气象、海洋监测预报部门发布的消息，台风（热带风暴）24小时内可能影响本县作业渔船所在海域。</w:t>
      </w:r>
    </w:p>
    <w:p w14:paraId="3976976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（2）过去48小时本县沿海水产养殖区域出现特大暴雨天气，未来24小时仍将出现大暴雨天气。</w:t>
      </w:r>
    </w:p>
    <w:p w14:paraId="3394A6A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（3）县防指启动相应I级响应。 </w:t>
      </w:r>
    </w:p>
    <w:p w14:paraId="0910795E">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44" w:name="_Toc1525"/>
      <w:bookmarkStart w:id="45" w:name="_Toc7079"/>
      <w:bookmarkStart w:id="46" w:name="_Toc19030"/>
      <w:r>
        <w:rPr>
          <w:rFonts w:hint="default" w:ascii="Times New Roman" w:hAnsi="Times New Roman" w:eastAsia="楷体_GB2312" w:cs="Times New Roman"/>
          <w:b w:val="0"/>
          <w:bCs/>
          <w:sz w:val="32"/>
          <w:szCs w:val="32"/>
        </w:rPr>
        <w:t>4.2应急响应行动</w:t>
      </w:r>
      <w:bookmarkEnd w:id="44"/>
      <w:bookmarkEnd w:id="45"/>
      <w:bookmarkEnd w:id="46"/>
    </w:p>
    <w:p w14:paraId="06A9F2C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根据事件等级，局渔防组启动相应应急行动。局渔防组启动应急响应行动后，由于能力和条件限制不能及时有效处置突发事件时，可请求县防指或上级有关部门启动相应级别的应急响应。</w:t>
      </w:r>
    </w:p>
    <w:p w14:paraId="039D8D20">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cs="Times New Roman"/>
          <w:sz w:val="28"/>
          <w:szCs w:val="28"/>
        </w:rPr>
      </w:pPr>
      <w:r>
        <w:rPr>
          <w:rFonts w:hint="default" w:ascii="Times New Roman" w:hAnsi="Times New Roman" w:eastAsia="黑体" w:cs="Times New Roman"/>
          <w:b w:val="0"/>
          <w:bCs/>
          <w:sz w:val="32"/>
          <w:szCs w:val="32"/>
        </w:rPr>
        <w:t>4.2.1</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IV级应急响应行动</w:t>
      </w:r>
      <w:r>
        <w:rPr>
          <w:rFonts w:hint="default" w:ascii="Times New Roman" w:hAnsi="Times New Roman" w:cs="Times New Roman"/>
          <w:sz w:val="28"/>
          <w:szCs w:val="28"/>
        </w:rPr>
        <w:t xml:space="preserve"> </w:t>
      </w:r>
    </w:p>
    <w:p w14:paraId="12ADF28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由局渔防组组长决定启动IV级应急响应,实施IV级应急响应行动。</w:t>
      </w:r>
    </w:p>
    <w:p w14:paraId="0721A5D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局渔防办落实24小时值班，局渔防办成员轮流值班。多渠道收集台风、寒潮等气象及海况信息，及时掌握台风、寒潮和汛期动态信息，向渔船、养殖户和全县各级海洋渔业管理人员通报台风、寒潮和汛情等信息。</w:t>
      </w:r>
    </w:p>
    <w:p w14:paraId="320C0CF2">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局渔防办各成员科室、部门按照本预案职责分工，做好职责范围内事项的督促、指导和信息汇总，全面掌握渔船动态、水产养殖企业等防汛防台防风动向，并及时将汇总信息上报局渔防办。渔政等抢险救助应急船艇进入待命状态。</w:t>
      </w:r>
    </w:p>
    <w:p w14:paraId="7A10ADD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局渔防办加强与市农业农村局、县防指、各镇（区、街道）防汛防台防风组织机构和成员科室（部门）之间的信息联系，及时传达贯彻上级有关防汛防台防风工作指令，汇总上报和通报防汛防台防风工作及应急情况，按照要求准时向县防指和上级有关部门报告工作动态。</w:t>
      </w:r>
    </w:p>
    <w:p w14:paraId="681F152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（4）局渔防办视情况组织与气象部门、各镇（区、街道）海洋渔业防汛防台防风组织机构等单位会商，分析研判台风走向、大风和汛情发展趋势，发布防汛防台防风IV级应急响应工作通知。</w:t>
      </w:r>
    </w:p>
    <w:p w14:paraId="4CDEDE4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（5）局渔防组根据情况与镇（区、街道）海洋渔业防汛防台防风组织机构进行联系，动员部署相关工作。</w:t>
      </w:r>
    </w:p>
    <w:p w14:paraId="3BE271A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（6）根据海洋监测预报机构发布的海浪灾害解除警报、气象部门发布的解除台风、大风、暴雨警报，或县防指终止IV级应急响应，局渔防组视情决定终止IV级应急响应行动。 </w:t>
      </w:r>
    </w:p>
    <w:p w14:paraId="448AF6DB">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 xml:space="preserve">4.2.2 III级应急响应行动 </w:t>
      </w:r>
    </w:p>
    <w:p w14:paraId="5562BD6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在实施IV级预警响应的基础上，由局渔防组组长决定启动III级应急响应,实施III级应急响应行动。</w:t>
      </w:r>
    </w:p>
    <w:p w14:paraId="4A50D25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局渔防组副组长到海洋渔业应急指挥中心轮流值班，召集风险管控组成员会商，视情连线镇（区、街道）海洋渔业防汛防台防风组织机构，深化部署防汛防台防风工作，发布防汛防台防风III级应急响应工作通知，及时向县防指和上级有关部门报告工作动态。</w:t>
      </w:r>
    </w:p>
    <w:p w14:paraId="12A61584">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（2）启动III级应急响应时，局办公室准备好防汛防台防风物资、车辆。</w:t>
      </w:r>
    </w:p>
    <w:p w14:paraId="5E130D5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台风、寒潮、强对流天气来临时督促海上作业渔船根据上级要求停止作业，迅速回港避风，或锚泊避险、安全区域避险、驶离受影响区域避险。渔政和渔港监督部门加强渔港巡查，维护渔船避风秩序。建立与在县外渔港避风渔船和当地相应管理部门的联系，核实避风地点和动态。掌握外地渔船在本地渔港避风的情况，加强管理，必要时与船籍港有关部门进行联系。</w:t>
      </w:r>
    </w:p>
    <w:p w14:paraId="5CF26D26">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指导镇（区、街道）督促养殖企业检查、加固养殖设施，要求渔业企业、渔船服务组织通知在浅海养殖人员及时撤离上岸。台风或暴雨来临时，适当降低池塘水位，有条件的抓紧时间抢收部分产品或转移养殖设施。</w:t>
      </w:r>
    </w:p>
    <w:p w14:paraId="547640D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（5）督促海堤外海洋渔业工程建设项目按要求撤离人员。</w:t>
      </w:r>
    </w:p>
    <w:p w14:paraId="1394A59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（6）局渔防组成员根据情况对各重点防汛防台防风区域内的各项防御措施进行检查和落实。</w:t>
      </w:r>
    </w:p>
    <w:p w14:paraId="12AAFEE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（7）渔政执法船、渔业救助船备航，做好应急救援各项准备工作。</w:t>
      </w:r>
    </w:p>
    <w:p w14:paraId="0841C0E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（8）遇有突发安全应急事件，及时进行处置。</w:t>
      </w:r>
    </w:p>
    <w:p w14:paraId="2347219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（9）根据海洋监测预报机构发布的海浪灾害解除警报、气象部门发布的解除台风、大风和暴雨警报，或县防指终止III级应急响应，局渔防组根据情况决定降低应急响应等级，或终止应急响应行动。</w:t>
      </w:r>
    </w:p>
    <w:p w14:paraId="7396BA5D">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 xml:space="preserve">4.2.3 II级应急响应行动 </w:t>
      </w:r>
    </w:p>
    <w:p w14:paraId="1F43482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在实施IV、III级预警响应的基础上，由局渔防组组长决定启动II级应急响应,实施II级应急响应行动。</w:t>
      </w:r>
    </w:p>
    <w:p w14:paraId="57102CC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进入紧急防汛防台防风状态，局渔防组所有成员到岗值班，全时组织风险管控组成员会商，根据事态发展与镇（区、街道）海洋渔业防汛防台防风组织机构及时沟通联系，深化部署防汛防台防风工作，发布II级应急响应工作通知，及时向县防指报告工作动态，组织抗灾抢险小分队，处于24小时值班待命状态。局渔防办派人进驻洋口渔港和刘埠渔港及沿海镇（区、街道）。</w:t>
      </w:r>
    </w:p>
    <w:p w14:paraId="32C7257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（2）全面检查掌握渔船避风落实情况，对因特殊原因未能回港渔船采取应急措施，随时保持通信联络，引导其及时返港或进入安全水域。</w:t>
      </w:r>
    </w:p>
    <w:p w14:paraId="5A76C16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（3）督促各地全面检查所有渔船、养殖户、海堤外在建海洋渔业项目人员撤离情况，保证人员按要求撤离至风险区域外。 </w:t>
      </w:r>
    </w:p>
    <w:p w14:paraId="4BB10F8F">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（4）督促各地加强渔港和渔船停泊点安全巡查，渔船要按规范加强值班，保持船舶机动性，防止船只走锚、搁浅和碰撞。除了值班人员外，其他所有人员撤离上岸。</w:t>
      </w:r>
    </w:p>
    <w:p w14:paraId="2424728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（5）渔政执法船、渔业救助船备航，做好应急救援各项准备工作。</w:t>
      </w:r>
    </w:p>
    <w:p w14:paraId="06E5ECE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（6）遇有突发安全应急事件，及时进行处置。</w:t>
      </w:r>
    </w:p>
    <w:p w14:paraId="005E0E3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（7）根据海洋监测预报机构发布的海浪灾害解除警报、气象部门发布的解除台风、大风、暴雨警报，或县防指终止II级应急响应，局渔防组根据情况决定降低应急响应等级，或终止应急响应行动。</w:t>
      </w:r>
    </w:p>
    <w:p w14:paraId="4EE63FEA">
      <w:pPr>
        <w:pStyle w:val="7"/>
        <w:pageBreakBefore w:val="0"/>
        <w:widowControl w:val="0"/>
        <w:kinsoku/>
        <w:wordWrap/>
        <w:overflowPunct/>
        <w:topLinePunct w:val="0"/>
        <w:autoSpaceDE/>
        <w:autoSpaceDN/>
        <w:bidi w:val="0"/>
        <w:adjustRightInd/>
        <w:snapToGrid w:val="0"/>
        <w:spacing w:before="0" w:after="0" w:line="590" w:lineRule="exact"/>
        <w:jc w:val="left"/>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4.2.4</w:t>
      </w:r>
      <w:r>
        <w:rPr>
          <w:rFonts w:hint="default" w:ascii="Times New Roman" w:hAnsi="Times New Roman" w:eastAsia="黑体" w:cs="Times New Roman"/>
          <w:b w:val="0"/>
          <w:bCs/>
          <w:sz w:val="32"/>
          <w:szCs w:val="32"/>
          <w:lang w:val="en-US" w:eastAsia="zh-CN"/>
        </w:rPr>
        <w:t xml:space="preserve"> </w:t>
      </w:r>
      <w:r>
        <w:rPr>
          <w:rFonts w:hint="default" w:ascii="Times New Roman" w:hAnsi="Times New Roman" w:eastAsia="黑体" w:cs="Times New Roman"/>
          <w:b w:val="0"/>
          <w:bCs/>
          <w:sz w:val="32"/>
          <w:szCs w:val="32"/>
        </w:rPr>
        <w:t xml:space="preserve">I级应急响应行动 </w:t>
      </w:r>
    </w:p>
    <w:p w14:paraId="414EA0A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在实施IV、III、II级预警响应的基础上，由局渔防组组长决定启动I级应急响应,实施I级应急响应行动。 </w:t>
      </w:r>
    </w:p>
    <w:p w14:paraId="55C499B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进入特别紧急防汛防台防风工作状态，全时组织风险管控组成员会商，根据事态发展与镇（区、街道）海洋渔业防汛防台防风组织机构及时沟通联系，深化部署防汛防台防风工作，发布I级应急响应工作通知，及时向县防指报告工作动态。</w:t>
      </w:r>
    </w:p>
    <w:p w14:paraId="47F4FDA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（2）所有人员尽可能留在安全的地方，密切监视汛情、台风等大风对各地侵袭和影响情况；利用各种通信手段，及时发布防汛防台防风安全信息。 </w:t>
      </w:r>
    </w:p>
    <w:p w14:paraId="3445392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（4）全面核查进港避风的渔船，督促除抗台操作人员以外的所有人员上岸避风，联系和确认在县外渔港等避风地点的渔船，要求在县外的渔船服从当地指令，落实防范措施。 </w:t>
      </w:r>
    </w:p>
    <w:p w14:paraId="14FE6D0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（5）局渔防组及时指导避风船舶抗击台风等大风，如有遇险船舶，立即采取应急措施，指导遇险船舶自救，并及时上报险情。 </w:t>
      </w:r>
    </w:p>
    <w:p w14:paraId="2273167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（6）及时将灾害情况、防范措施、受损情况、抢险救灾等情况向上级部门、县防指报告和通报，当船舶、人员、渔港设施等遭受重大损失时，随时报告。 </w:t>
      </w:r>
    </w:p>
    <w:p w14:paraId="13C52F9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（7）向灾害发生地派出工作组指导工作。 </w:t>
      </w:r>
    </w:p>
    <w:p w14:paraId="53D512EB">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32"/>
          <w:szCs w:val="32"/>
        </w:rPr>
        <w:t>（8）根据海洋监测预报机构发布的海浪灾害解除警报、气象部门发布的解除台风、大风、暴雨警报，或县防指终止I级应急响应，局渔防组根据情况决定降低应急响应等级，或终止应急响应行动。</w:t>
      </w:r>
    </w:p>
    <w:p w14:paraId="026DE03E">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47" w:name="_Toc31417"/>
      <w:bookmarkStart w:id="48" w:name="_Toc10693"/>
      <w:bookmarkStart w:id="49" w:name="_Toc13096"/>
      <w:r>
        <w:rPr>
          <w:rFonts w:hint="default" w:ascii="Times New Roman" w:hAnsi="Times New Roman" w:eastAsia="楷体_GB2312" w:cs="Times New Roman"/>
          <w:b w:val="0"/>
          <w:bCs/>
          <w:sz w:val="32"/>
          <w:szCs w:val="32"/>
        </w:rPr>
        <w:t>4.3抢险救援</w:t>
      </w:r>
      <w:bookmarkEnd w:id="47"/>
      <w:bookmarkEnd w:id="48"/>
      <w:bookmarkEnd w:id="49"/>
    </w:p>
    <w:p w14:paraId="2296243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立足抢早抢小、抓早抓小，充分准备海洋渔业防汛防台防风救援力量和物资装备；局渔防组协调指导各地组织开展海洋渔业防汛防台防风抢险救援工作。 </w:t>
      </w:r>
    </w:p>
    <w:p w14:paraId="4268DFA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（1）指导和引导当事船舶自救、编组和邻近船舶互救。</w:t>
      </w:r>
    </w:p>
    <w:p w14:paraId="7BBF539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（2）及时将相关信息通报水上专业搜救机构，请其调派专业力量前往救助</w:t>
      </w:r>
    </w:p>
    <w:p w14:paraId="794F0D77">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（3）协调附近渔业船舶参与救助。</w:t>
      </w:r>
    </w:p>
    <w:p w14:paraId="0AF17215">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（4）具备适航条件的渔业执法船、渔业救助船赶往事发海域进行救助。</w:t>
      </w:r>
    </w:p>
    <w:p w14:paraId="5BFBC6D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（5）保持与当事渔业船舶或附近渔业船舶联系，及时了解并向有关方面通报现场情况。</w:t>
      </w:r>
    </w:p>
    <w:p w14:paraId="03AA459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（6）及时关注气象海况条件及现场情况，防止次生灾害发生。</w:t>
      </w:r>
    </w:p>
    <w:p w14:paraId="028DF798">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50" w:name="_Toc750"/>
      <w:bookmarkStart w:id="51" w:name="_Toc22002"/>
      <w:bookmarkStart w:id="52" w:name="_Toc17330"/>
      <w:r>
        <w:rPr>
          <w:rFonts w:hint="default" w:ascii="Times New Roman" w:hAnsi="Times New Roman" w:eastAsia="楷体_GB2312" w:cs="Times New Roman"/>
          <w:b w:val="0"/>
          <w:bCs/>
          <w:sz w:val="32"/>
          <w:szCs w:val="32"/>
        </w:rPr>
        <w:t>4.4信息报送</w:t>
      </w:r>
      <w:bookmarkEnd w:id="50"/>
      <w:bookmarkEnd w:id="51"/>
      <w:bookmarkEnd w:id="52"/>
    </w:p>
    <w:p w14:paraId="0D60FFFD">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局渔防组对较大以上灾害事故信息按照相关规定要求和方式及时报送县防指和上级相关部门。信息报告的内容包括：</w:t>
      </w:r>
    </w:p>
    <w:p w14:paraId="6DAC5BC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（1）接到灾害事故发生的时间。</w:t>
      </w:r>
    </w:p>
    <w:p w14:paraId="30A2E826">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（2）灾害事故发生的时间、地点、性质、海域情况。</w:t>
      </w:r>
    </w:p>
    <w:p w14:paraId="08632EE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（3）事故船舶和设施名称、业主或经营人名称、联系方式。</w:t>
      </w:r>
    </w:p>
    <w:p w14:paraId="3C9F71B3">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（4）船舶或设备设施损坏程度，人员伤亡、失联数量。</w:t>
      </w:r>
    </w:p>
    <w:p w14:paraId="65AA35AE">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（5）事故渔业船舶或设施的救生、通讯设备情况，救助需求。</w:t>
      </w:r>
    </w:p>
    <w:p w14:paraId="73248C1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（6）事故渔业船舶和救援力量的动态、特征。</w:t>
      </w:r>
    </w:p>
    <w:p w14:paraId="3E8AD65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（7）已经采取的自救和救援措施及效果。</w:t>
      </w:r>
    </w:p>
    <w:p w14:paraId="3D0E66AC">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（8）需要协调和帮助解决的事项。</w:t>
      </w:r>
    </w:p>
    <w:p w14:paraId="0274CBE6">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（9）其他应当报告的情况。</w:t>
      </w:r>
    </w:p>
    <w:p w14:paraId="3A42C721">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应急响应结束后,在规定期限内将海洋渔业防汛防台防风总结报送县防指。信息发布按照相关规定和渠道执行。</w:t>
      </w:r>
    </w:p>
    <w:p w14:paraId="350F0120">
      <w:pPr>
        <w:pStyle w:val="5"/>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53" w:name="_Toc13600"/>
      <w:bookmarkStart w:id="54" w:name="_Toc25067"/>
      <w:bookmarkStart w:id="55" w:name="_Toc14716"/>
      <w:r>
        <w:rPr>
          <w:rFonts w:hint="default" w:ascii="Times New Roman" w:hAnsi="Times New Roman" w:eastAsia="黑体" w:cs="Times New Roman"/>
          <w:b w:val="0"/>
          <w:bCs/>
          <w:sz w:val="32"/>
          <w:szCs w:val="32"/>
        </w:rPr>
        <w:t>5</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灾后处置</w:t>
      </w:r>
      <w:bookmarkEnd w:id="53"/>
      <w:bookmarkEnd w:id="54"/>
      <w:bookmarkEnd w:id="55"/>
    </w:p>
    <w:p w14:paraId="7AFD6F28">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56" w:name="_Toc16165"/>
      <w:bookmarkStart w:id="57" w:name="_Toc31926"/>
      <w:bookmarkStart w:id="58" w:name="_Toc24635"/>
      <w:r>
        <w:rPr>
          <w:rFonts w:hint="default" w:ascii="Times New Roman" w:hAnsi="Times New Roman" w:eastAsia="楷体_GB2312" w:cs="Times New Roman"/>
          <w:b w:val="0"/>
          <w:bCs/>
          <w:sz w:val="32"/>
          <w:szCs w:val="32"/>
        </w:rPr>
        <w:t>5.1灾后部署</w:t>
      </w:r>
      <w:bookmarkEnd w:id="56"/>
      <w:bookmarkEnd w:id="57"/>
      <w:bookmarkEnd w:id="58"/>
    </w:p>
    <w:p w14:paraId="0025C099">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汛情、台风等大风过后，各镇（区、街道）及时统计辖区海洋渔业行业受损情况，在汛情、台风等大风过后及时将核实后的受灾详情书面报局渔防组，并由局渔防组统一汇总上报。局渔防组要以保障生活、恢复生产为重点,统筹做好灾后恢复重建工作,第一时间进行部署，落实抗灾救灾具体工作措施。 </w:t>
      </w:r>
    </w:p>
    <w:p w14:paraId="5CE3D120">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59" w:name="_Toc28635"/>
      <w:bookmarkStart w:id="60" w:name="_Toc9463"/>
      <w:bookmarkStart w:id="61" w:name="_Toc24484"/>
      <w:r>
        <w:rPr>
          <w:rFonts w:hint="default" w:ascii="Times New Roman" w:hAnsi="Times New Roman" w:eastAsia="楷体_GB2312" w:cs="Times New Roman"/>
          <w:b w:val="0"/>
          <w:bCs/>
          <w:sz w:val="32"/>
          <w:szCs w:val="32"/>
        </w:rPr>
        <w:t>5.2灾后恢复</w:t>
      </w:r>
      <w:bookmarkEnd w:id="59"/>
      <w:bookmarkEnd w:id="60"/>
      <w:bookmarkEnd w:id="61"/>
    </w:p>
    <w:p w14:paraId="7965B346">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局渔防组根据受灾情况，适时派出灾后指导组，对汛情、台风等大风造成的渔船、海洋渔业基础设施损失组织救助，减少灾害造成的损失。指导渔民开展生产自救和灾后养殖病害防治，协调渔业保险机构及时对财产损失和人员伤亡情况进行评估、理赔。落实各级政府灾后恢复生产补助政策，及时发放补助资金及物资。 </w:t>
      </w:r>
    </w:p>
    <w:p w14:paraId="6E7BD0F9">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62" w:name="_Toc29788"/>
      <w:bookmarkStart w:id="63" w:name="_Toc3735"/>
      <w:bookmarkStart w:id="64" w:name="_Toc9037"/>
      <w:r>
        <w:rPr>
          <w:rFonts w:hint="default" w:ascii="Times New Roman" w:hAnsi="Times New Roman" w:eastAsia="楷体_GB2312" w:cs="Times New Roman"/>
          <w:b w:val="0"/>
          <w:bCs/>
          <w:sz w:val="32"/>
          <w:szCs w:val="32"/>
        </w:rPr>
        <w:t>5.3复盘评估</w:t>
      </w:r>
      <w:bookmarkEnd w:id="62"/>
      <w:bookmarkEnd w:id="63"/>
      <w:bookmarkEnd w:id="64"/>
    </w:p>
    <w:p w14:paraId="62B81128">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局渔防组组织有关单位和专家对防汛防台防风工作进行复盘评估,分析原因,总结经验和不足，并按要求及时将防汛防台防风复盘总结上报上级部门和县防指。 </w:t>
      </w:r>
    </w:p>
    <w:p w14:paraId="6125A168">
      <w:pPr>
        <w:pStyle w:val="5"/>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65" w:name="_Toc23069"/>
      <w:bookmarkStart w:id="66" w:name="_Toc25974"/>
      <w:bookmarkStart w:id="67" w:name="_Toc7260"/>
      <w:r>
        <w:rPr>
          <w:rFonts w:hint="default" w:ascii="Times New Roman" w:hAnsi="Times New Roman" w:eastAsia="黑体" w:cs="Times New Roman"/>
          <w:b w:val="0"/>
          <w:bCs/>
          <w:sz w:val="32"/>
          <w:szCs w:val="32"/>
        </w:rPr>
        <w:t>6</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应急演练</w:t>
      </w:r>
      <w:bookmarkEnd w:id="65"/>
      <w:bookmarkEnd w:id="66"/>
      <w:bookmarkEnd w:id="67"/>
    </w:p>
    <w:p w14:paraId="270170D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局渔防组、镇（区、街道）应每年进行防汛防台防风模拟演练，模拟II级以上防汛防台防风应急响应，演练包括信息和应急行动指令传递、渔船返港避风和海上抢险等科目。按照各级职责做好各项预警和防范工作。演练中，预案启动、组织指挥、信息报送、应急处理等各个环节都要做到反应迅速、衔接有序。演练结束后总结分析，找出薄弱环节和存在问题，提出相应的提高和改进措施。 </w:t>
      </w:r>
    </w:p>
    <w:p w14:paraId="6F6A2A15">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黑体" w:cs="Times New Roman"/>
          <w:b w:val="0"/>
          <w:bCs/>
          <w:sz w:val="32"/>
          <w:szCs w:val="32"/>
        </w:rPr>
      </w:pPr>
      <w:bookmarkStart w:id="68" w:name="_Toc27006"/>
      <w:bookmarkStart w:id="69" w:name="_Toc13544"/>
      <w:bookmarkStart w:id="70" w:name="_Toc2029"/>
      <w:r>
        <w:rPr>
          <w:rFonts w:hint="default" w:ascii="Times New Roman" w:hAnsi="Times New Roman" w:eastAsia="黑体" w:cs="Times New Roman"/>
          <w:b w:val="0"/>
          <w:bCs/>
          <w:sz w:val="32"/>
          <w:szCs w:val="32"/>
        </w:rPr>
        <w:t>7</w:t>
      </w:r>
      <w:r>
        <w:rPr>
          <w:rFonts w:hint="default" w:ascii="Times New Roman" w:hAnsi="Times New Roman" w:eastAsia="黑体" w:cs="Times New Roman"/>
          <w:b w:val="0"/>
          <w:bCs/>
          <w:sz w:val="32"/>
          <w:szCs w:val="32"/>
          <w:lang w:eastAsia="zh-CN"/>
        </w:rPr>
        <w:t>.</w:t>
      </w:r>
      <w:r>
        <w:rPr>
          <w:rFonts w:hint="default" w:ascii="Times New Roman" w:hAnsi="Times New Roman" w:eastAsia="黑体" w:cs="Times New Roman"/>
          <w:b w:val="0"/>
          <w:bCs/>
          <w:sz w:val="32"/>
          <w:szCs w:val="32"/>
        </w:rPr>
        <w:t>预案管理</w:t>
      </w:r>
      <w:bookmarkEnd w:id="68"/>
      <w:bookmarkEnd w:id="69"/>
      <w:bookmarkEnd w:id="70"/>
    </w:p>
    <w:p w14:paraId="07C76F1D">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71" w:name="_Toc27166"/>
      <w:bookmarkStart w:id="72" w:name="_Toc3288"/>
      <w:bookmarkStart w:id="73" w:name="_Toc26666"/>
      <w:r>
        <w:rPr>
          <w:rFonts w:hint="default" w:ascii="Times New Roman" w:hAnsi="Times New Roman" w:eastAsia="楷体_GB2312" w:cs="Times New Roman"/>
          <w:b w:val="0"/>
          <w:bCs/>
          <w:sz w:val="32"/>
          <w:szCs w:val="32"/>
        </w:rPr>
        <w:t>7.1管理与更新</w:t>
      </w:r>
      <w:bookmarkEnd w:id="71"/>
      <w:bookmarkEnd w:id="72"/>
      <w:bookmarkEnd w:id="73"/>
    </w:p>
    <w:p w14:paraId="043F740A">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镇（区、街道）应根据本预案和当地实际制定相应的应急预案,报县农业农村局备案。当防汛防台抗旱相关法律法规修改后,或在实际应对和实战演习中出现新问题、新情况时,应及时修订完善预案。 </w:t>
      </w:r>
    </w:p>
    <w:p w14:paraId="573488B5">
      <w:pPr>
        <w:pStyle w:val="6"/>
        <w:pageBreakBefore w:val="0"/>
        <w:widowControl w:val="0"/>
        <w:kinsoku/>
        <w:wordWrap/>
        <w:overflowPunct/>
        <w:topLinePunct w:val="0"/>
        <w:autoSpaceDE/>
        <w:autoSpaceDN/>
        <w:bidi w:val="0"/>
        <w:adjustRightInd/>
        <w:snapToGrid w:val="0"/>
        <w:spacing w:before="0" w:after="0" w:line="590" w:lineRule="exact"/>
        <w:textAlignment w:val="auto"/>
        <w:rPr>
          <w:rFonts w:hint="default" w:ascii="Times New Roman" w:hAnsi="Times New Roman" w:eastAsia="楷体_GB2312" w:cs="Times New Roman"/>
          <w:b w:val="0"/>
          <w:bCs/>
          <w:sz w:val="32"/>
          <w:szCs w:val="32"/>
        </w:rPr>
      </w:pPr>
      <w:bookmarkStart w:id="74" w:name="_Toc18918"/>
      <w:bookmarkStart w:id="75" w:name="_Toc10515"/>
      <w:bookmarkStart w:id="76" w:name="_Toc10980"/>
      <w:r>
        <w:rPr>
          <w:rFonts w:hint="default" w:ascii="Times New Roman" w:hAnsi="Times New Roman" w:eastAsia="楷体_GB2312" w:cs="Times New Roman"/>
          <w:b w:val="0"/>
          <w:bCs/>
          <w:sz w:val="32"/>
          <w:szCs w:val="32"/>
        </w:rPr>
        <w:t>7.2预案实施</w:t>
      </w:r>
      <w:bookmarkEnd w:id="74"/>
      <w:bookmarkEnd w:id="75"/>
      <w:bookmarkEnd w:id="76"/>
    </w:p>
    <w:p w14:paraId="585D3DF0">
      <w:pPr>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本预案自印发之日起施行。</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4780F3B-4943-418B-AF45-E798CDF842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C36433D0-2F0B-4E34-AF01-585DAC4D35A5}"/>
  </w:font>
  <w:font w:name="楷体_GB2312">
    <w:panose1 w:val="02010609030101010101"/>
    <w:charset w:val="86"/>
    <w:family w:val="auto"/>
    <w:pitch w:val="default"/>
    <w:sig w:usb0="00000001" w:usb1="080E0000" w:usb2="00000000" w:usb3="00000000" w:csb0="00040000" w:csb1="00000000"/>
    <w:embedRegular r:id="rId3" w:fontKey="{AD1DA75C-3411-4827-A854-97D5E7EEF70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8E2A4">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7B90EAE">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67B90EAE">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zIyZDM1NDRlN2UzN2EyZjIwYTIyZDhiMjI2NDYifQ=="/>
  </w:docVars>
  <w:rsids>
    <w:rsidRoot w:val="04090B1C"/>
    <w:rsid w:val="001D4F42"/>
    <w:rsid w:val="00342E78"/>
    <w:rsid w:val="00452F1F"/>
    <w:rsid w:val="004728B1"/>
    <w:rsid w:val="0050626B"/>
    <w:rsid w:val="00C94432"/>
    <w:rsid w:val="00DA12C0"/>
    <w:rsid w:val="00E473D0"/>
    <w:rsid w:val="04090B1C"/>
    <w:rsid w:val="040F0FD7"/>
    <w:rsid w:val="04F17494"/>
    <w:rsid w:val="05BC189B"/>
    <w:rsid w:val="0CBB5395"/>
    <w:rsid w:val="0CE70C80"/>
    <w:rsid w:val="0D284A34"/>
    <w:rsid w:val="10293910"/>
    <w:rsid w:val="12C3164E"/>
    <w:rsid w:val="140B6E56"/>
    <w:rsid w:val="185B76A4"/>
    <w:rsid w:val="1B412EA0"/>
    <w:rsid w:val="1B503E99"/>
    <w:rsid w:val="1E7B283C"/>
    <w:rsid w:val="1EFD0E66"/>
    <w:rsid w:val="2199170A"/>
    <w:rsid w:val="2B6511A8"/>
    <w:rsid w:val="2CED02BF"/>
    <w:rsid w:val="2D5527F2"/>
    <w:rsid w:val="2DF12D4D"/>
    <w:rsid w:val="310F04CB"/>
    <w:rsid w:val="32D9243B"/>
    <w:rsid w:val="34240341"/>
    <w:rsid w:val="364D49D2"/>
    <w:rsid w:val="3A181205"/>
    <w:rsid w:val="3C20708D"/>
    <w:rsid w:val="3D31768E"/>
    <w:rsid w:val="4239620F"/>
    <w:rsid w:val="43537269"/>
    <w:rsid w:val="44552077"/>
    <w:rsid w:val="495113F4"/>
    <w:rsid w:val="49B76880"/>
    <w:rsid w:val="4CA72109"/>
    <w:rsid w:val="4D510F35"/>
    <w:rsid w:val="4D570D63"/>
    <w:rsid w:val="53573D8F"/>
    <w:rsid w:val="537175C8"/>
    <w:rsid w:val="553B1993"/>
    <w:rsid w:val="5D906DC4"/>
    <w:rsid w:val="5DBA5342"/>
    <w:rsid w:val="5F6F7757"/>
    <w:rsid w:val="5FDB66D2"/>
    <w:rsid w:val="63EB5B81"/>
    <w:rsid w:val="64897B95"/>
    <w:rsid w:val="66882B7E"/>
    <w:rsid w:val="683D1E0A"/>
    <w:rsid w:val="696638FC"/>
    <w:rsid w:val="6C290B81"/>
    <w:rsid w:val="6D1E67BF"/>
    <w:rsid w:val="6DA67BB6"/>
    <w:rsid w:val="70710AC1"/>
    <w:rsid w:val="75EB2A5B"/>
    <w:rsid w:val="7DE73761"/>
    <w:rsid w:val="7F1E028D"/>
    <w:rsid w:val="7FBB3C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0"/>
    <w:pPr>
      <w:keepNext/>
      <w:keepLines/>
      <w:spacing w:before="340" w:after="330" w:line="576" w:lineRule="auto"/>
      <w:outlineLvl w:val="0"/>
    </w:pPr>
    <w:rPr>
      <w:b/>
      <w:kern w:val="44"/>
      <w:sz w:val="44"/>
    </w:rPr>
  </w:style>
  <w:style w:type="paragraph" w:styleId="6">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7">
    <w:name w:val="heading 3"/>
    <w:basedOn w:val="1"/>
    <w:next w:val="1"/>
    <w:unhideWhenUsed/>
    <w:qFormat/>
    <w:uiPriority w:val="0"/>
    <w:pPr>
      <w:keepNext/>
      <w:keepLines/>
      <w:spacing w:before="260" w:after="260" w:line="413" w:lineRule="auto"/>
      <w:outlineLvl w:val="2"/>
    </w:pPr>
    <w:rPr>
      <w:b/>
      <w:sz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snapToGrid w:val="0"/>
      <w:spacing w:line="590" w:lineRule="atLeast"/>
      <w:ind w:firstLine="420" w:firstLineChars="200"/>
    </w:pPr>
    <w:rPr>
      <w:rFonts w:eastAsia="方正仿宋_GBK"/>
      <w:szCs w:val="24"/>
    </w:rPr>
  </w:style>
  <w:style w:type="paragraph" w:styleId="3">
    <w:name w:val="Body Text Indent"/>
    <w:basedOn w:val="1"/>
    <w:next w:val="4"/>
    <w:qFormat/>
    <w:uiPriority w:val="0"/>
    <w:pPr>
      <w:spacing w:after="120"/>
      <w:ind w:left="420" w:leftChars="200"/>
    </w:pPr>
  </w:style>
  <w:style w:type="paragraph" w:styleId="4">
    <w:name w:val="Normal Indent"/>
    <w:basedOn w:val="1"/>
    <w:next w:val="1"/>
    <w:qFormat/>
    <w:uiPriority w:val="0"/>
    <w:pPr>
      <w:ind w:firstLine="42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character" w:styleId="14">
    <w:name w:val="Hyperlink"/>
    <w:basedOn w:val="1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7941</Words>
  <Characters>8189</Characters>
  <Lines>70</Lines>
  <Paragraphs>19</Paragraphs>
  <TotalTime>46</TotalTime>
  <ScaleCrop>false</ScaleCrop>
  <LinksUpToDate>false</LinksUpToDate>
  <CharactersWithSpaces>8265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2024-03-28T06:27:00Z</dcterms:created>
  <dc:creator>南通思逢</dc:creator>
  <cp:lastModifiedBy>E小调</cp:lastModifiedBy>
  <cp:lastPrinted>2024-07-26T03:06:00Z</cp:lastPrinted>
  <dcterms:modified xsi:type="dcterms:W3CDTF">2024-07-31T02:09:09Z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0F3F851B79474EB8A2E03E3AAFB562F1</vt:lpwstr>
  </property>
</Properties>
</file>